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C1F13" w14:textId="016606FB" w:rsidR="00DF6462" w:rsidRPr="005557D8" w:rsidRDefault="005557D8">
      <w:pPr>
        <w:rPr>
          <w:rFonts w:cstheme="minorHAnsi"/>
          <w:sz w:val="20"/>
          <w:szCs w:val="20"/>
        </w:rPr>
      </w:pPr>
      <w:r w:rsidRPr="005557D8">
        <w:rPr>
          <w:rFonts w:cstheme="minorHAnsi"/>
          <w:b/>
          <w:bCs/>
          <w:sz w:val="20"/>
          <w:szCs w:val="20"/>
        </w:rPr>
        <w:t xml:space="preserve">Anleitung </w:t>
      </w:r>
      <w:r w:rsidR="00BB1AB3" w:rsidRPr="005557D8">
        <w:rPr>
          <w:rFonts w:cstheme="minorHAnsi"/>
          <w:b/>
          <w:bCs/>
          <w:sz w:val="20"/>
          <w:szCs w:val="20"/>
        </w:rPr>
        <w:t>Short Call</w:t>
      </w:r>
      <w:r w:rsidR="00AA5980">
        <w:rPr>
          <w:rFonts w:cstheme="minorHAnsi"/>
          <w:b/>
          <w:bCs/>
          <w:sz w:val="20"/>
          <w:szCs w:val="20"/>
        </w:rPr>
        <w:t xml:space="preserve"> </w:t>
      </w:r>
      <w:r w:rsidR="00C247D0">
        <w:rPr>
          <w:rFonts w:cstheme="minorHAnsi"/>
          <w:b/>
          <w:bCs/>
          <w:sz w:val="20"/>
          <w:szCs w:val="20"/>
        </w:rPr>
        <w:t>/</w:t>
      </w:r>
      <w:r w:rsidR="00AA5980">
        <w:rPr>
          <w:rFonts w:cstheme="minorHAnsi"/>
          <w:b/>
          <w:bCs/>
          <w:sz w:val="20"/>
          <w:szCs w:val="20"/>
        </w:rPr>
        <w:t xml:space="preserve"> </w:t>
      </w:r>
      <w:r w:rsidR="00E92CCF">
        <w:rPr>
          <w:rFonts w:cstheme="minorHAnsi"/>
          <w:b/>
          <w:bCs/>
          <w:sz w:val="20"/>
          <w:szCs w:val="20"/>
        </w:rPr>
        <w:t xml:space="preserve">Covered Call in Rahmen der </w:t>
      </w:r>
      <w:r w:rsidR="00AA5980">
        <w:rPr>
          <w:rFonts w:cstheme="minorHAnsi"/>
          <w:b/>
          <w:bCs/>
          <w:sz w:val="20"/>
          <w:szCs w:val="20"/>
        </w:rPr>
        <w:t>Wheel Strategie</w:t>
      </w:r>
    </w:p>
    <w:p w14:paraId="56758EB1" w14:textId="6F25F680" w:rsidR="005557D8" w:rsidRDefault="00B3278B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Naked Short Call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Bärische Strategie</w:t>
      </w:r>
      <w:r w:rsidR="00FE5B8E">
        <w:rPr>
          <w:rFonts w:cstheme="minorHAnsi"/>
          <w:sz w:val="20"/>
          <w:szCs w:val="20"/>
        </w:rPr>
        <w:t>, erfordert striktes Risikomanagement!</w:t>
      </w:r>
    </w:p>
    <w:p w14:paraId="1382E428" w14:textId="38CC8D68" w:rsidR="00BB1AB3" w:rsidRPr="005557D8" w:rsidRDefault="0092384B" w:rsidP="00B3278B">
      <w:pPr>
        <w:ind w:left="2127" w:hanging="2127"/>
        <w:rPr>
          <w:rFonts w:cstheme="minorHAnsi"/>
          <w:sz w:val="20"/>
          <w:szCs w:val="20"/>
        </w:rPr>
      </w:pPr>
      <w:r w:rsidRPr="005557D8">
        <w:rPr>
          <w:rFonts w:cstheme="minorHAnsi"/>
          <w:sz w:val="20"/>
          <w:szCs w:val="20"/>
        </w:rPr>
        <w:t>Covered</w:t>
      </w:r>
      <w:r w:rsidR="009B23D5" w:rsidRPr="005557D8">
        <w:rPr>
          <w:rFonts w:cstheme="minorHAnsi"/>
          <w:sz w:val="20"/>
          <w:szCs w:val="20"/>
        </w:rPr>
        <w:t xml:space="preserve"> Call</w:t>
      </w:r>
      <w:r w:rsidR="000C2747" w:rsidRPr="005557D8">
        <w:rPr>
          <w:rFonts w:cstheme="minorHAnsi"/>
          <w:sz w:val="20"/>
          <w:szCs w:val="20"/>
        </w:rPr>
        <w:t>:</w:t>
      </w:r>
      <w:r w:rsidR="009B23D5" w:rsidRPr="005557D8">
        <w:rPr>
          <w:rFonts w:cstheme="minorHAnsi"/>
          <w:sz w:val="20"/>
          <w:szCs w:val="20"/>
        </w:rPr>
        <w:t xml:space="preserve"> </w:t>
      </w:r>
      <w:r w:rsidR="009B23D5" w:rsidRPr="005557D8">
        <w:rPr>
          <w:rFonts w:cstheme="minorHAnsi"/>
          <w:sz w:val="20"/>
          <w:szCs w:val="20"/>
        </w:rPr>
        <w:tab/>
      </w:r>
      <w:r w:rsidR="00B3278B">
        <w:rPr>
          <w:rFonts w:cstheme="minorHAnsi"/>
          <w:sz w:val="20"/>
          <w:szCs w:val="20"/>
        </w:rPr>
        <w:t>neutrale bis leicht bullische</w:t>
      </w:r>
      <w:r w:rsidR="009B23D5" w:rsidRPr="005557D8">
        <w:rPr>
          <w:rFonts w:cstheme="minorHAnsi"/>
          <w:sz w:val="20"/>
          <w:szCs w:val="20"/>
        </w:rPr>
        <w:t xml:space="preserve"> Strategie</w:t>
      </w:r>
      <w:r w:rsidR="00AA5980">
        <w:rPr>
          <w:rFonts w:cstheme="minorHAnsi"/>
          <w:sz w:val="20"/>
          <w:szCs w:val="20"/>
        </w:rPr>
        <w:t xml:space="preserve"> (</w:t>
      </w:r>
      <w:r w:rsidR="00B3278B" w:rsidRPr="00B3278B">
        <w:rPr>
          <w:rFonts w:cstheme="minorHAnsi"/>
          <w:sz w:val="20"/>
          <w:szCs w:val="20"/>
        </w:rPr>
        <w:t>optimal bei Seitwärtsbewegung oder moderatem Aufwärtstrend; nicht bei generellem Abwärtstrend</w:t>
      </w:r>
      <w:r w:rsidR="00FE5B8E">
        <w:rPr>
          <w:rFonts w:cstheme="minorHAnsi"/>
          <w:sz w:val="20"/>
          <w:szCs w:val="20"/>
        </w:rPr>
        <w:t>, da Aktienverluste die Prämieneinnahmen übersteigen</w:t>
      </w:r>
      <w:r w:rsidR="00B3278B">
        <w:rPr>
          <w:rFonts w:cstheme="minorHAnsi"/>
          <w:sz w:val="20"/>
          <w:szCs w:val="20"/>
        </w:rPr>
        <w:t>!)</w:t>
      </w:r>
    </w:p>
    <w:p w14:paraId="0F9A829C" w14:textId="359143E2" w:rsidR="000025BC" w:rsidRPr="005557D8" w:rsidRDefault="000025BC" w:rsidP="000025BC">
      <w:pPr>
        <w:rPr>
          <w:rFonts w:cstheme="minorHAnsi"/>
          <w:sz w:val="20"/>
          <w:szCs w:val="20"/>
        </w:rPr>
      </w:pPr>
      <w:r w:rsidRPr="005557D8">
        <w:rPr>
          <w:rFonts w:cstheme="minorHAnsi"/>
          <w:sz w:val="20"/>
          <w:szCs w:val="20"/>
        </w:rPr>
        <w:t xml:space="preserve">Ziel: </w:t>
      </w:r>
      <w:r w:rsidRPr="005557D8">
        <w:rPr>
          <w:rFonts w:cstheme="minorHAnsi"/>
          <w:sz w:val="20"/>
          <w:szCs w:val="20"/>
        </w:rPr>
        <w:tab/>
      </w:r>
      <w:r w:rsidRPr="005557D8"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Pr="005557D8">
        <w:rPr>
          <w:rFonts w:cstheme="minorHAnsi"/>
          <w:sz w:val="20"/>
          <w:szCs w:val="20"/>
        </w:rPr>
        <w:t xml:space="preserve">Einnahme generieren </w:t>
      </w:r>
    </w:p>
    <w:p w14:paraId="20902CE8" w14:textId="77777777" w:rsidR="000025BC" w:rsidRDefault="000025BC">
      <w:pPr>
        <w:rPr>
          <w:rFonts w:cstheme="minorHAnsi"/>
          <w:sz w:val="20"/>
          <w:szCs w:val="20"/>
        </w:rPr>
      </w:pPr>
      <w:r w:rsidRPr="000025BC">
        <w:rPr>
          <w:rFonts w:cstheme="minorHAnsi"/>
          <w:noProof/>
          <w:sz w:val="20"/>
          <w:szCs w:val="20"/>
        </w:rPr>
        <w:drawing>
          <wp:inline distT="0" distB="0" distL="0" distR="0" wp14:anchorId="3CC1CC91" wp14:editId="596A50DA">
            <wp:extent cx="4742822" cy="2682999"/>
            <wp:effectExtent l="0" t="0" r="635" b="317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73435" cy="2700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EA48A1" w14:textId="0B31CCF0" w:rsidR="00424CBC" w:rsidRPr="000F533F" w:rsidRDefault="00424CBC" w:rsidP="000F533F">
      <w:pPr>
        <w:rPr>
          <w:rFonts w:cstheme="minorHAnsi"/>
          <w:i/>
          <w:iCs/>
          <w:sz w:val="20"/>
          <w:szCs w:val="20"/>
          <w:bdr w:val="single" w:sz="2" w:space="0" w:color="E5E7EB" w:frame="1"/>
        </w:rPr>
      </w:pPr>
      <w:r w:rsidRPr="005557D8">
        <w:rPr>
          <w:rStyle w:val="Hervorhebung"/>
          <w:rFonts w:cstheme="minorHAnsi"/>
          <w:sz w:val="20"/>
          <w:szCs w:val="20"/>
          <w:bdr w:val="single" w:sz="2" w:space="0" w:color="E5E7EB" w:frame="1"/>
        </w:rPr>
        <w:t>"Cashflow durch Optionen ist ein Marathon, kein Sprint. Disziplin schlägt Genialität."</w:t>
      </w:r>
      <w:r w:rsidR="000F533F">
        <w:rPr>
          <w:rStyle w:val="Hervorhebung"/>
          <w:rFonts w:cstheme="minorHAnsi"/>
          <w:sz w:val="20"/>
          <w:szCs w:val="20"/>
          <w:bdr w:val="single" w:sz="2" w:space="0" w:color="E5E7EB" w:frame="1"/>
        </w:rPr>
        <w:t xml:space="preserve"> </w:t>
      </w:r>
      <w:r w:rsidRPr="005557D8">
        <w:rPr>
          <w:rFonts w:cstheme="minorHAnsi"/>
          <w:i/>
          <w:iCs/>
          <w:sz w:val="20"/>
          <w:szCs w:val="20"/>
        </w:rPr>
        <w:t>Andrei Anissimov, Kap. 19.</w:t>
      </w:r>
    </w:p>
    <w:p w14:paraId="1BBD52DA" w14:textId="77777777" w:rsidR="005557D8" w:rsidRPr="00424CBC" w:rsidRDefault="005557D8" w:rsidP="005557D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1. Grundprinzip des Short Calls für Cashflow</w:t>
      </w:r>
    </w:p>
    <w:p w14:paraId="49203555" w14:textId="2ADEF7D2" w:rsidR="005557D8" w:rsidRPr="00424CBC" w:rsidRDefault="005557D8" w:rsidP="005557D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Mechanismus</w:t>
      </w:r>
      <w:r w:rsidRPr="00424CBC">
        <w:rPr>
          <w:rFonts w:eastAsia="Times New Roman" w:cstheme="minorHAnsi"/>
          <w:sz w:val="20"/>
          <w:szCs w:val="20"/>
          <w:lang w:eastAsia="de-DE"/>
        </w:rPr>
        <w:t>:</w:t>
      </w:r>
      <w:r>
        <w:rPr>
          <w:rFonts w:eastAsia="Times New Roman" w:cstheme="minorHAnsi"/>
          <w:sz w:val="20"/>
          <w:szCs w:val="20"/>
          <w:lang w:eastAsia="de-DE"/>
        </w:rPr>
        <w:t xml:space="preserve"> </w:t>
      </w:r>
      <w:r w:rsidRPr="00424CBC">
        <w:rPr>
          <w:rFonts w:eastAsia="Times New Roman" w:cstheme="minorHAnsi"/>
          <w:sz w:val="20"/>
          <w:szCs w:val="20"/>
          <w:lang w:eastAsia="de-DE"/>
        </w:rPr>
        <w:t>Du verkaufst eine Call-Option und erhältst dafür eine Prämie (Cashflow).</w:t>
      </w:r>
    </w:p>
    <w:p w14:paraId="73AAEA4C" w14:textId="77777777" w:rsidR="005557D8" w:rsidRPr="00424CBC" w:rsidRDefault="005557D8" w:rsidP="005557D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Covered Call</w:t>
      </w:r>
      <w:r w:rsidRPr="00424CBC">
        <w:rPr>
          <w:rFonts w:eastAsia="Times New Roman" w:cstheme="minorHAnsi"/>
          <w:sz w:val="20"/>
          <w:szCs w:val="20"/>
          <w:lang w:eastAsia="de-DE"/>
        </w:rPr>
        <w:t>: Du besitzt die zugrundeliegende Aktie.</w:t>
      </w:r>
    </w:p>
    <w:p w14:paraId="7EEB5F70" w14:textId="77777777" w:rsidR="005557D8" w:rsidRPr="00424CBC" w:rsidRDefault="005557D8" w:rsidP="005557D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Cash Covered Call</w:t>
      </w:r>
      <w:r w:rsidRPr="00424CBC">
        <w:rPr>
          <w:rFonts w:eastAsia="Times New Roman" w:cstheme="minorHAnsi"/>
          <w:sz w:val="20"/>
          <w:szCs w:val="20"/>
          <w:lang w:eastAsia="de-DE"/>
        </w:rPr>
        <w:t>: Du hältst den Kaufpreis der Aktie in Cash bereit (kein Aktienbesitz nötig).</w:t>
      </w:r>
    </w:p>
    <w:p w14:paraId="26B95961" w14:textId="4F4C82B2" w:rsidR="005557D8" w:rsidRPr="00424CBC" w:rsidRDefault="005557D8" w:rsidP="005557D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Ziel</w:t>
      </w:r>
      <w:r w:rsidRPr="00424CBC">
        <w:rPr>
          <w:rFonts w:eastAsia="Times New Roman" w:cstheme="minorHAnsi"/>
          <w:sz w:val="20"/>
          <w:szCs w:val="20"/>
          <w:lang w:eastAsia="de-DE"/>
        </w:rPr>
        <w:t>:</w:t>
      </w:r>
      <w:r>
        <w:rPr>
          <w:rFonts w:eastAsia="Times New Roman" w:cstheme="minorHAnsi"/>
          <w:sz w:val="20"/>
          <w:szCs w:val="20"/>
          <w:lang w:eastAsia="de-DE"/>
        </w:rPr>
        <w:tab/>
      </w:r>
      <w:r w:rsidRPr="00424CBC">
        <w:rPr>
          <w:rFonts w:eastAsia="Times New Roman" w:cstheme="minorHAnsi"/>
          <w:sz w:val="20"/>
          <w:szCs w:val="20"/>
          <w:lang w:eastAsia="de-DE"/>
        </w:rPr>
        <w:t>Die Option verfällt wertlos, sodass du die Prämie behältst.</w:t>
      </w:r>
    </w:p>
    <w:p w14:paraId="2FA6A44C" w14:textId="0E6DA715" w:rsidR="005557D8" w:rsidRPr="00424CBC" w:rsidRDefault="005557D8" w:rsidP="005557D8">
      <w:pPr>
        <w:numPr>
          <w:ilvl w:val="0"/>
          <w:numId w:val="2"/>
        </w:numPr>
        <w:tabs>
          <w:tab w:val="clear" w:pos="720"/>
        </w:tabs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Risiko</w:t>
      </w:r>
      <w:r w:rsidRPr="00424CBC">
        <w:rPr>
          <w:rFonts w:eastAsia="Times New Roman" w:cstheme="minorHAnsi"/>
          <w:sz w:val="20"/>
          <w:szCs w:val="20"/>
          <w:lang w:eastAsia="de-DE"/>
        </w:rPr>
        <w:t>:</w:t>
      </w:r>
      <w:r>
        <w:rPr>
          <w:rFonts w:eastAsia="Times New Roman" w:cstheme="minorHAnsi"/>
          <w:sz w:val="20"/>
          <w:szCs w:val="20"/>
          <w:lang w:eastAsia="de-DE"/>
        </w:rPr>
        <w:tab/>
      </w:r>
      <w:r w:rsidRPr="00424CBC">
        <w:rPr>
          <w:rFonts w:eastAsia="Times New Roman" w:cstheme="minorHAnsi"/>
          <w:sz w:val="20"/>
          <w:szCs w:val="20"/>
          <w:lang w:eastAsia="de-DE"/>
        </w:rPr>
        <w:t xml:space="preserve">Steigt der Kurs über den Strike, musst du die Aktie liefern (Covered) </w:t>
      </w:r>
      <w:r>
        <w:rPr>
          <w:rFonts w:eastAsia="Times New Roman" w:cstheme="minorHAnsi"/>
          <w:sz w:val="20"/>
          <w:szCs w:val="20"/>
          <w:lang w:eastAsia="de-DE"/>
        </w:rPr>
        <w:t xml:space="preserve">bzw. </w:t>
      </w:r>
      <w:r w:rsidRPr="00424CBC">
        <w:rPr>
          <w:rFonts w:eastAsia="Times New Roman" w:cstheme="minorHAnsi"/>
          <w:sz w:val="20"/>
          <w:szCs w:val="20"/>
          <w:lang w:eastAsia="de-DE"/>
        </w:rPr>
        <w:t xml:space="preserve">kaufen </w:t>
      </w:r>
      <w:r>
        <w:rPr>
          <w:rFonts w:eastAsia="Times New Roman" w:cstheme="minorHAnsi"/>
          <w:sz w:val="20"/>
          <w:szCs w:val="20"/>
          <w:lang w:eastAsia="de-DE"/>
        </w:rPr>
        <w:t xml:space="preserve">um liefern zu können </w:t>
      </w:r>
      <w:r w:rsidRPr="00424CBC">
        <w:rPr>
          <w:rFonts w:eastAsia="Times New Roman" w:cstheme="minorHAnsi"/>
          <w:sz w:val="20"/>
          <w:szCs w:val="20"/>
          <w:lang w:eastAsia="de-DE"/>
        </w:rPr>
        <w:t>(Cash Covered).</w:t>
      </w:r>
    </w:p>
    <w:p w14:paraId="4607BE76" w14:textId="0B411F6D" w:rsidR="005557D8" w:rsidRPr="00424CBC" w:rsidRDefault="005557D8" w:rsidP="005557D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 xml:space="preserve">2. Parameter für die Basiswert-Auswahl </w:t>
      </w: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8"/>
        <w:gridCol w:w="5373"/>
        <w:gridCol w:w="2126"/>
      </w:tblGrid>
      <w:tr w:rsidR="00AA5980" w:rsidRPr="0092384B" w14:paraId="6584C6E6" w14:textId="77777777" w:rsidTr="00DA4B8F">
        <w:trPr>
          <w:trHeight w:val="300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FB6B70" w14:textId="77777777" w:rsidR="0092384B" w:rsidRP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Parameter</w:t>
            </w:r>
          </w:p>
        </w:tc>
        <w:tc>
          <w:tcPr>
            <w:tcW w:w="5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5561FB" w14:textId="77777777" w:rsidR="0092384B" w:rsidRP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Empfohlene Werte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CC02A" w14:textId="77777777" w:rsidR="0092384B" w:rsidRP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Nachlesen im Buch unter:</w:t>
            </w:r>
          </w:p>
        </w:tc>
      </w:tr>
      <w:tr w:rsidR="00AA5980" w:rsidRPr="0092384B" w14:paraId="126D5D7B" w14:textId="77777777" w:rsidTr="00DA4B8F">
        <w:trPr>
          <w:trHeight w:val="724"/>
        </w:trPr>
        <w:tc>
          <w:tcPr>
            <w:tcW w:w="1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F55E0" w14:textId="77777777" w:rsidR="0092384B" w:rsidRP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Stabilität</w:t>
            </w:r>
          </w:p>
        </w:tc>
        <w:tc>
          <w:tcPr>
            <w:tcW w:w="5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67E39" w14:textId="77777777" w:rsid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Unternehmen mit stabilen Fundamentaldaten</w:t>
            </w:r>
            <w:r w:rsidR="00AA5980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, solider Bilanz, nachhaltigem Geschäftsmodell, stabilem Cashflow, langer Dividendenhistorie</w:t>
            </w: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 xml:space="preserve"> (z. B. Dividendenaristokraten)</w:t>
            </w:r>
            <w:r w:rsidR="00AA5980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, angemessenes KGV /KBV</w:t>
            </w:r>
          </w:p>
          <w:p w14:paraId="787E8373" w14:textId="77777777" w:rsidR="00AA5980" w:rsidRDefault="00AA5980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A5980">
              <w:rPr>
                <w:rFonts w:eastAsia="Times New Roman" w:cstheme="minorHAnsi"/>
                <w:noProof/>
                <w:color w:val="000000"/>
                <w:sz w:val="20"/>
                <w:szCs w:val="20"/>
                <w:lang w:eastAsia="de-DE"/>
              </w:rPr>
              <w:drawing>
                <wp:inline distT="0" distB="0" distL="0" distR="0" wp14:anchorId="6F60107F" wp14:editId="3BBFE35F">
                  <wp:extent cx="3247932" cy="602901"/>
                  <wp:effectExtent l="0" t="0" r="0" b="6985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4889" cy="615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99FBBD" w14:textId="77777777" w:rsidR="00BE41E6" w:rsidRDefault="00BE41E6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Gap-Anfälligkeit vermeiden</w:t>
            </w:r>
          </w:p>
          <w:p w14:paraId="7A1E3090" w14:textId="2E271567" w:rsidR="00BE41E6" w:rsidRPr="0092384B" w:rsidRDefault="00BE41E6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Beta &gt;1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9FB5F" w14:textId="77777777" w:rsidR="0092384B" w:rsidRP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Kap. 16: Fundamentalanalyse</w:t>
            </w:r>
          </w:p>
        </w:tc>
      </w:tr>
      <w:tr w:rsidR="00AA5980" w:rsidRPr="0092384B" w14:paraId="444C5832" w14:textId="77777777" w:rsidTr="00BE41E6">
        <w:trPr>
          <w:trHeight w:val="691"/>
        </w:trPr>
        <w:tc>
          <w:tcPr>
            <w:tcW w:w="1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7F5CE" w14:textId="77777777" w:rsidR="0092384B" w:rsidRP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Volatilität</w:t>
            </w:r>
          </w:p>
        </w:tc>
        <w:tc>
          <w:tcPr>
            <w:tcW w:w="5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84BB1" w14:textId="77777777" w:rsidR="000025BC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Moderate implizite Volatilität (IV):</w:t>
            </w:r>
            <w:r w:rsidRPr="005557D8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 xml:space="preserve"> </w:t>
            </w: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 xml:space="preserve">20–40%. </w:t>
            </w:r>
          </w:p>
          <w:p w14:paraId="2E8D8334" w14:textId="20E60B32" w:rsidR="0092384B" w:rsidRP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Nutze IV-Spitzen vor Ereignissen (z. B. Quartalszahlen).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F318B" w14:textId="77777777" w:rsidR="0092384B" w:rsidRP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Kap. 15: Volatilität handeln</w:t>
            </w:r>
          </w:p>
        </w:tc>
      </w:tr>
      <w:tr w:rsidR="00AA5980" w:rsidRPr="0092384B" w14:paraId="297A09DA" w14:textId="77777777" w:rsidTr="00BE41E6">
        <w:trPr>
          <w:trHeight w:val="701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04091" w14:textId="77777777" w:rsidR="0092384B" w:rsidRP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lastRenderedPageBreak/>
              <w:t>Liquidität</w:t>
            </w:r>
          </w:p>
        </w:tc>
        <w:tc>
          <w:tcPr>
            <w:tcW w:w="5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9E2AE" w14:textId="133FC18E" w:rsidR="0092384B" w:rsidRP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 xml:space="preserve">Hohes </w:t>
            </w:r>
            <w:r w:rsidR="00FB3A2F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Handels</w:t>
            </w: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volumen</w:t>
            </w:r>
            <w:r w:rsidR="00DA7213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 xml:space="preserve"> </w:t>
            </w:r>
            <w:r w:rsidR="00B425FD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(&gt;500, besser &gt;1000 Kontrakte pro Tag) h</w:t>
            </w:r>
            <w:r w:rsidR="005F7A2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ohes Open Interest</w:t>
            </w:r>
            <w:r w:rsidR="005F7A24"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 xml:space="preserve"> </w:t>
            </w:r>
            <w:r w:rsidR="00B425FD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(</w:t>
            </w: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&gt; 1.000 Kontrakte</w:t>
            </w:r>
            <w:r w:rsidR="005F7A2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 xml:space="preserve"> pro Strike und Laufzeit, mind</w:t>
            </w:r>
            <w:r w:rsidR="005A781E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.</w:t>
            </w:r>
            <w:r w:rsidR="005F7A2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 xml:space="preserve"> &gt;100</w:t>
            </w: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 xml:space="preserve">) und enge </w:t>
            </w:r>
            <w:r w:rsidR="005F7A2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Spreads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9E530" w14:textId="77777777" w:rsidR="0092384B" w:rsidRP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Kap. 7: Covered Call</w:t>
            </w:r>
          </w:p>
        </w:tc>
      </w:tr>
      <w:tr w:rsidR="00AA5980" w:rsidRPr="0092384B" w14:paraId="12E9E655" w14:textId="77777777" w:rsidTr="00DA4B8F">
        <w:trPr>
          <w:trHeight w:val="697"/>
        </w:trPr>
        <w:tc>
          <w:tcPr>
            <w:tcW w:w="1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8B880" w14:textId="77777777" w:rsidR="0092384B" w:rsidRP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Charttechnik</w:t>
            </w:r>
          </w:p>
        </w:tc>
        <w:tc>
          <w:tcPr>
            <w:tcW w:w="5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AEB35" w14:textId="7A7E9039" w:rsidR="0092384B" w:rsidRP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Aktie im</w:t>
            </w:r>
            <w:r w:rsidRPr="005557D8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 xml:space="preserve"> </w:t>
            </w: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Seitwärts- oder Aufwärtstrend. Keine Aktien in starkem Abwärtstrend!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E0886" w14:textId="77777777" w:rsidR="0092384B" w:rsidRP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Kap. 17: Charttechnik</w:t>
            </w:r>
          </w:p>
        </w:tc>
      </w:tr>
      <w:tr w:rsidR="00AA5980" w:rsidRPr="0092384B" w14:paraId="2ED6178B" w14:textId="77777777" w:rsidTr="00DA4B8F">
        <w:trPr>
          <w:trHeight w:val="693"/>
        </w:trPr>
        <w:tc>
          <w:tcPr>
            <w:tcW w:w="1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602DA" w14:textId="77777777" w:rsidR="0092384B" w:rsidRP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Preisniveau</w:t>
            </w:r>
          </w:p>
        </w:tc>
        <w:tc>
          <w:tcPr>
            <w:tcW w:w="5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832F8" w14:textId="2E767920" w:rsidR="0092384B" w:rsidRP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Aktienpreis</w:t>
            </w:r>
            <w:r w:rsidRPr="005557D8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 xml:space="preserve"> </w:t>
            </w: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zwischen $50–$200</w:t>
            </w:r>
            <w:r w:rsidRPr="005557D8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 xml:space="preserve"> </w:t>
            </w: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(vermeide zu teure Aktien für bessere Hebelwirkung).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842C4" w14:textId="77777777" w:rsidR="0092384B" w:rsidRP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Kap. 9: Cash Covered Calls</w:t>
            </w:r>
          </w:p>
        </w:tc>
      </w:tr>
      <w:tr w:rsidR="00AA5980" w:rsidRPr="0092384B" w14:paraId="7A08A754" w14:textId="77777777" w:rsidTr="00DA4B8F">
        <w:trPr>
          <w:trHeight w:val="643"/>
        </w:trPr>
        <w:tc>
          <w:tcPr>
            <w:tcW w:w="1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20E21" w14:textId="77777777" w:rsidR="0092384B" w:rsidRP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Diversifikation</w:t>
            </w:r>
          </w:p>
        </w:tc>
        <w:tc>
          <w:tcPr>
            <w:tcW w:w="5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4F1A2" w14:textId="77777777" w:rsidR="0092384B" w:rsidRP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Max. 5–10% des Depots pro Basiswert. Streue über Sektoren (z. B. Tech, Konsumgüter).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6D866" w14:textId="53E673F9" w:rsidR="0092384B" w:rsidRPr="0092384B" w:rsidRDefault="0092384B" w:rsidP="0092384B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92384B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Kap. 21: Portfoliomanagement</w:t>
            </w:r>
          </w:p>
        </w:tc>
      </w:tr>
    </w:tbl>
    <w:p w14:paraId="0C9B04AD" w14:textId="54FF9BEF" w:rsidR="00165972" w:rsidRDefault="00BC08D2" w:rsidP="00165972">
      <w:pPr>
        <w:spacing w:after="0" w:line="240" w:lineRule="auto"/>
        <w:rPr>
          <w:rFonts w:eastAsia="Times New Roman" w:cstheme="minorHAnsi"/>
          <w:color w:val="000000"/>
          <w:sz w:val="20"/>
          <w:szCs w:val="20"/>
          <w:lang w:eastAsia="de-DE"/>
        </w:rPr>
      </w:pPr>
      <w:r w:rsidRPr="00BC08D2">
        <w:rPr>
          <w:rFonts w:eastAsia="Times New Roman" w:cstheme="minorHAnsi"/>
          <w:noProof/>
          <w:color w:val="000000"/>
          <w:sz w:val="20"/>
          <w:szCs w:val="20"/>
          <w:lang w:eastAsia="de-DE"/>
        </w:rPr>
        <w:drawing>
          <wp:anchor distT="0" distB="0" distL="114300" distR="114300" simplePos="0" relativeHeight="251658240" behindDoc="0" locked="0" layoutInCell="1" allowOverlap="1" wp14:anchorId="30BD1F0A" wp14:editId="6FE98E9E">
            <wp:simplePos x="0" y="0"/>
            <wp:positionH relativeFrom="margin">
              <wp:posOffset>4701652</wp:posOffset>
            </wp:positionH>
            <wp:positionV relativeFrom="paragraph">
              <wp:posOffset>93310</wp:posOffset>
            </wp:positionV>
            <wp:extent cx="1306286" cy="793678"/>
            <wp:effectExtent l="0" t="0" r="8255" b="6985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286" cy="7936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9AC3CE" w14:textId="4100C12C" w:rsidR="00165972" w:rsidRPr="00424CBC" w:rsidRDefault="00165972" w:rsidP="00165972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 xml:space="preserve">3. </w:t>
      </w:r>
      <w:r>
        <w:rPr>
          <w:rFonts w:eastAsia="Times New Roman" w:cstheme="minorHAnsi"/>
          <w:b/>
          <w:bCs/>
          <w:sz w:val="20"/>
          <w:szCs w:val="20"/>
          <w:lang w:eastAsia="de-DE"/>
        </w:rPr>
        <w:t>Long Signal</w:t>
      </w:r>
    </w:p>
    <w:p w14:paraId="0E23B36A" w14:textId="77777777" w:rsidR="00165972" w:rsidRPr="00165972" w:rsidRDefault="00165972" w:rsidP="00165972">
      <w:pPr>
        <w:spacing w:after="0" w:line="240" w:lineRule="auto"/>
        <w:rPr>
          <w:rFonts w:eastAsia="Times New Roman" w:cstheme="minorHAnsi"/>
          <w:color w:val="000000"/>
          <w:sz w:val="20"/>
          <w:szCs w:val="20"/>
          <w:lang w:eastAsia="de-DE"/>
        </w:rPr>
      </w:pPr>
      <w:r w:rsidRPr="00165972">
        <w:rPr>
          <w:rFonts w:eastAsia="Times New Roman" w:cstheme="minorHAnsi"/>
          <w:b/>
          <w:bCs/>
          <w:color w:val="000000"/>
          <w:sz w:val="20"/>
          <w:szCs w:val="20"/>
          <w:lang w:eastAsia="de-DE"/>
        </w:rPr>
        <w:t>Trendbestätigung</w:t>
      </w:r>
      <w:r w:rsidRPr="00165972">
        <w:rPr>
          <w:rFonts w:eastAsia="Times New Roman" w:cstheme="minorHAnsi"/>
          <w:color w:val="000000"/>
          <w:sz w:val="20"/>
          <w:szCs w:val="20"/>
          <w:lang w:eastAsia="de-DE"/>
        </w:rPr>
        <w:t>:</w:t>
      </w:r>
    </w:p>
    <w:p w14:paraId="0AA6A587" w14:textId="7999ED5C" w:rsidR="00165972" w:rsidRPr="00165972" w:rsidRDefault="00165972" w:rsidP="00165972">
      <w:pPr>
        <w:pStyle w:val="Listenabsatz"/>
        <w:numPr>
          <w:ilvl w:val="0"/>
          <w:numId w:val="10"/>
        </w:numPr>
        <w:spacing w:after="0" w:line="240" w:lineRule="auto"/>
        <w:rPr>
          <w:rFonts w:eastAsia="Times New Roman" w:cstheme="minorHAnsi"/>
          <w:color w:val="000000"/>
          <w:sz w:val="20"/>
          <w:szCs w:val="20"/>
          <w:lang w:eastAsia="de-DE"/>
        </w:rPr>
      </w:pPr>
      <w:r w:rsidRPr="00165972">
        <w:rPr>
          <w:rFonts w:eastAsia="Times New Roman" w:cstheme="minorHAnsi"/>
          <w:b/>
          <w:bCs/>
          <w:color w:val="000000"/>
          <w:sz w:val="20"/>
          <w:szCs w:val="20"/>
          <w:lang w:eastAsia="de-DE"/>
        </w:rPr>
        <w:t xml:space="preserve">Preis </w:t>
      </w:r>
      <w:r w:rsidR="00055ADB">
        <w:rPr>
          <w:rFonts w:eastAsia="Times New Roman" w:cstheme="minorHAnsi"/>
          <w:b/>
          <w:bCs/>
          <w:color w:val="000000"/>
          <w:sz w:val="20"/>
          <w:szCs w:val="20"/>
          <w:lang w:eastAsia="de-DE"/>
        </w:rPr>
        <w:t>über</w:t>
      </w:r>
      <w:r w:rsidRPr="00165972">
        <w:rPr>
          <w:rFonts w:eastAsia="Times New Roman" w:cstheme="minorHAnsi"/>
          <w:b/>
          <w:bCs/>
          <w:color w:val="000000"/>
          <w:sz w:val="20"/>
          <w:szCs w:val="20"/>
          <w:lang w:eastAsia="de-DE"/>
        </w:rPr>
        <w:t xml:space="preserve"> SMA 10/20/50/</w:t>
      </w:r>
      <w:proofErr w:type="gramStart"/>
      <w:r w:rsidRPr="00165972">
        <w:rPr>
          <w:rFonts w:eastAsia="Times New Roman" w:cstheme="minorHAnsi"/>
          <w:b/>
          <w:bCs/>
          <w:color w:val="000000"/>
          <w:sz w:val="20"/>
          <w:szCs w:val="20"/>
          <w:lang w:eastAsia="de-DE"/>
        </w:rPr>
        <w:t>200</w:t>
      </w:r>
      <w:r w:rsidRPr="00165972">
        <w:rPr>
          <w:rFonts w:eastAsia="Times New Roman" w:cstheme="minorHAnsi"/>
          <w:color w:val="000000"/>
          <w:sz w:val="20"/>
          <w:szCs w:val="20"/>
          <w:lang w:eastAsia="de-DE"/>
        </w:rPr>
        <w:t xml:space="preserve"> </w:t>
      </w:r>
      <w:r w:rsidR="00055ADB">
        <w:rPr>
          <w:rFonts w:eastAsia="Times New Roman" w:cstheme="minorHAnsi"/>
          <w:color w:val="000000"/>
          <w:sz w:val="20"/>
          <w:szCs w:val="20"/>
          <w:lang w:eastAsia="de-DE"/>
        </w:rPr>
        <w:t xml:space="preserve"> -</w:t>
      </w:r>
      <w:proofErr w:type="gramEnd"/>
      <w:r w:rsidR="00055ADB">
        <w:rPr>
          <w:rFonts w:eastAsia="Times New Roman" w:cstheme="minorHAnsi"/>
          <w:color w:val="000000"/>
          <w:sz w:val="20"/>
          <w:szCs w:val="20"/>
          <w:lang w:eastAsia="de-DE"/>
        </w:rPr>
        <w:t xml:space="preserve">&gt; </w:t>
      </w:r>
      <w:r w:rsidRPr="00165972">
        <w:rPr>
          <w:rFonts w:eastAsia="Times New Roman" w:cstheme="minorHAnsi"/>
          <w:color w:val="000000"/>
          <w:sz w:val="20"/>
          <w:szCs w:val="20"/>
          <w:lang w:eastAsia="de-DE"/>
        </w:rPr>
        <w:t>signalisiert einen Aufwärtstrend.</w:t>
      </w:r>
    </w:p>
    <w:p w14:paraId="3628F27A" w14:textId="3A9E0112" w:rsidR="00165972" w:rsidRPr="00165972" w:rsidRDefault="00165972" w:rsidP="00165972">
      <w:pPr>
        <w:pStyle w:val="Listenabsatz"/>
        <w:numPr>
          <w:ilvl w:val="0"/>
          <w:numId w:val="10"/>
        </w:numPr>
        <w:spacing w:after="0" w:line="240" w:lineRule="auto"/>
        <w:rPr>
          <w:rFonts w:eastAsia="Times New Roman" w:cstheme="minorHAnsi"/>
          <w:color w:val="000000"/>
          <w:sz w:val="20"/>
          <w:szCs w:val="20"/>
          <w:lang w:eastAsia="de-DE"/>
        </w:rPr>
      </w:pPr>
      <w:r w:rsidRPr="00165972">
        <w:rPr>
          <w:rFonts w:eastAsia="Times New Roman" w:cstheme="minorHAnsi"/>
          <w:b/>
          <w:bCs/>
          <w:color w:val="000000"/>
          <w:sz w:val="20"/>
          <w:szCs w:val="20"/>
          <w:lang w:eastAsia="de-DE"/>
        </w:rPr>
        <w:t xml:space="preserve">ADX </w:t>
      </w:r>
      <w:r w:rsidR="00055ADB">
        <w:rPr>
          <w:rFonts w:eastAsia="Times New Roman" w:cstheme="minorHAnsi"/>
          <w:b/>
          <w:bCs/>
          <w:color w:val="000000"/>
          <w:sz w:val="20"/>
          <w:szCs w:val="20"/>
          <w:lang w:eastAsia="de-DE"/>
        </w:rPr>
        <w:t>über</w:t>
      </w:r>
      <w:r w:rsidRPr="00165972">
        <w:rPr>
          <w:rFonts w:eastAsia="Times New Roman" w:cstheme="minorHAnsi"/>
          <w:b/>
          <w:bCs/>
          <w:color w:val="000000"/>
          <w:sz w:val="20"/>
          <w:szCs w:val="20"/>
          <w:lang w:eastAsia="de-DE"/>
        </w:rPr>
        <w:t xml:space="preserve"> 25 </w:t>
      </w:r>
      <w:r w:rsidRPr="00055ADB">
        <w:rPr>
          <w:rFonts w:eastAsia="Times New Roman" w:cstheme="minorHAnsi"/>
          <w:color w:val="000000"/>
          <w:sz w:val="20"/>
          <w:szCs w:val="20"/>
          <w:lang w:eastAsia="de-DE"/>
        </w:rPr>
        <w:t>(</w:t>
      </w:r>
      <w:r w:rsidR="00055ADB" w:rsidRPr="00055ADB">
        <w:rPr>
          <w:rFonts w:eastAsia="Times New Roman" w:cstheme="minorHAnsi"/>
          <w:color w:val="000000"/>
          <w:sz w:val="20"/>
          <w:szCs w:val="20"/>
          <w:lang w:eastAsia="de-DE"/>
        </w:rPr>
        <w:t>„</w:t>
      </w:r>
      <w:r w:rsidRPr="00055ADB">
        <w:rPr>
          <w:rFonts w:eastAsia="Times New Roman" w:cstheme="minorHAnsi"/>
          <w:color w:val="000000"/>
          <w:sz w:val="20"/>
          <w:szCs w:val="20"/>
          <w:lang w:eastAsia="de-DE"/>
        </w:rPr>
        <w:t>grün“)</w:t>
      </w:r>
      <w:r w:rsidR="00055ADB" w:rsidRPr="00055ADB">
        <w:rPr>
          <w:rFonts w:eastAsia="Times New Roman" w:cstheme="minorHAnsi"/>
          <w:color w:val="000000"/>
          <w:sz w:val="20"/>
          <w:szCs w:val="20"/>
          <w:lang w:eastAsia="de-DE"/>
        </w:rPr>
        <w:t xml:space="preserve"> und</w:t>
      </w:r>
      <w:r w:rsidR="00055ADB">
        <w:rPr>
          <w:rFonts w:eastAsia="Times New Roman" w:cstheme="minorHAnsi"/>
          <w:b/>
          <w:bCs/>
          <w:color w:val="000000"/>
          <w:sz w:val="20"/>
          <w:szCs w:val="20"/>
          <w:lang w:eastAsia="de-DE"/>
        </w:rPr>
        <w:t xml:space="preserve"> DI+ </w:t>
      </w:r>
      <w:r w:rsidR="0068606C">
        <w:rPr>
          <w:rFonts w:eastAsia="Times New Roman" w:cstheme="minorHAnsi"/>
          <w:b/>
          <w:bCs/>
          <w:color w:val="000000"/>
          <w:sz w:val="20"/>
          <w:szCs w:val="20"/>
          <w:lang w:eastAsia="de-DE"/>
        </w:rPr>
        <w:t xml:space="preserve">oberhalb </w:t>
      </w:r>
      <w:r w:rsidR="00055ADB">
        <w:rPr>
          <w:rFonts w:eastAsia="Times New Roman" w:cstheme="minorHAnsi"/>
          <w:b/>
          <w:bCs/>
          <w:color w:val="000000"/>
          <w:sz w:val="20"/>
          <w:szCs w:val="20"/>
          <w:lang w:eastAsia="de-DE"/>
        </w:rPr>
        <w:t xml:space="preserve">DI- </w:t>
      </w:r>
      <w:r w:rsidR="00055ADB" w:rsidRPr="00055ADB">
        <w:rPr>
          <w:rFonts w:eastAsia="Times New Roman" w:cstheme="minorHAnsi"/>
          <w:color w:val="000000"/>
          <w:sz w:val="20"/>
          <w:szCs w:val="20"/>
          <w:lang w:eastAsia="de-DE"/>
        </w:rPr>
        <w:t>(Aufwärtsbewegung</w:t>
      </w:r>
      <w:r w:rsidR="00B45F34">
        <w:rPr>
          <w:rFonts w:eastAsia="Times New Roman" w:cstheme="minorHAnsi"/>
          <w:color w:val="000000"/>
          <w:sz w:val="20"/>
          <w:szCs w:val="20"/>
          <w:lang w:eastAsia="de-DE"/>
        </w:rPr>
        <w:t xml:space="preserve"> dominiert</w:t>
      </w:r>
      <w:r w:rsidR="00055ADB" w:rsidRPr="00055ADB">
        <w:rPr>
          <w:rFonts w:eastAsia="Times New Roman" w:cstheme="minorHAnsi"/>
          <w:color w:val="000000"/>
          <w:sz w:val="20"/>
          <w:szCs w:val="20"/>
          <w:lang w:eastAsia="de-DE"/>
        </w:rPr>
        <w:t>) -&gt;</w:t>
      </w:r>
      <w:r w:rsidR="00055ADB">
        <w:rPr>
          <w:rFonts w:eastAsia="Times New Roman" w:cstheme="minorHAnsi"/>
          <w:b/>
          <w:bCs/>
          <w:color w:val="000000"/>
          <w:sz w:val="20"/>
          <w:szCs w:val="20"/>
          <w:lang w:eastAsia="de-DE"/>
        </w:rPr>
        <w:t xml:space="preserve"> </w:t>
      </w:r>
      <w:r w:rsidRPr="00165972">
        <w:rPr>
          <w:rFonts w:eastAsia="Times New Roman" w:cstheme="minorHAnsi"/>
          <w:color w:val="000000"/>
          <w:sz w:val="20"/>
          <w:szCs w:val="20"/>
          <w:lang w:eastAsia="de-DE"/>
        </w:rPr>
        <w:t>bestätigt Trendstärke.</w:t>
      </w:r>
    </w:p>
    <w:p w14:paraId="51D4B5BA" w14:textId="37FFB542" w:rsidR="00B45F34" w:rsidRDefault="00B45F34" w:rsidP="00165972">
      <w:pPr>
        <w:spacing w:after="0" w:line="240" w:lineRule="auto"/>
        <w:rPr>
          <w:rFonts w:eastAsia="Times New Roman" w:cstheme="minorHAnsi"/>
          <w:b/>
          <w:bCs/>
          <w:color w:val="000000"/>
          <w:sz w:val="20"/>
          <w:szCs w:val="20"/>
          <w:lang w:eastAsia="de-DE"/>
        </w:rPr>
      </w:pPr>
    </w:p>
    <w:p w14:paraId="5BEB0244" w14:textId="47C67A26" w:rsidR="00165972" w:rsidRPr="00165972" w:rsidRDefault="00165972" w:rsidP="00165972">
      <w:pPr>
        <w:spacing w:after="0" w:line="240" w:lineRule="auto"/>
        <w:rPr>
          <w:rFonts w:eastAsia="Times New Roman" w:cstheme="minorHAnsi"/>
          <w:color w:val="000000"/>
          <w:sz w:val="20"/>
          <w:szCs w:val="20"/>
          <w:lang w:eastAsia="de-DE"/>
        </w:rPr>
      </w:pPr>
      <w:r w:rsidRPr="00165972">
        <w:rPr>
          <w:rFonts w:eastAsia="Times New Roman" w:cstheme="minorHAnsi"/>
          <w:b/>
          <w:bCs/>
          <w:color w:val="000000"/>
          <w:sz w:val="20"/>
          <w:szCs w:val="20"/>
          <w:lang w:eastAsia="de-DE"/>
        </w:rPr>
        <w:t>Momentum-Unterstützung</w:t>
      </w:r>
      <w:r w:rsidRPr="00165972">
        <w:rPr>
          <w:rFonts w:eastAsia="Times New Roman" w:cstheme="minorHAnsi"/>
          <w:color w:val="000000"/>
          <w:sz w:val="20"/>
          <w:szCs w:val="20"/>
          <w:lang w:eastAsia="de-DE"/>
        </w:rPr>
        <w:t>:</w:t>
      </w:r>
    </w:p>
    <w:p w14:paraId="61C2E3A3" w14:textId="1AA5C384" w:rsidR="00165972" w:rsidRPr="00165972" w:rsidRDefault="00165972" w:rsidP="00165972">
      <w:pPr>
        <w:spacing w:after="0" w:line="240" w:lineRule="auto"/>
        <w:rPr>
          <w:rFonts w:eastAsia="Times New Roman" w:cstheme="minorHAnsi"/>
          <w:color w:val="000000"/>
          <w:sz w:val="20"/>
          <w:szCs w:val="20"/>
          <w:lang w:eastAsia="de-DE"/>
        </w:rPr>
      </w:pPr>
      <w:r w:rsidRPr="00165972">
        <w:rPr>
          <w:rFonts w:eastAsia="Times New Roman" w:cstheme="minorHAnsi"/>
          <w:b/>
          <w:bCs/>
          <w:color w:val="000000"/>
          <w:sz w:val="20"/>
          <w:szCs w:val="20"/>
          <w:lang w:eastAsia="de-DE"/>
        </w:rPr>
        <w:t>RSI &gt; 50</w:t>
      </w:r>
      <w:r w:rsidRPr="00165972">
        <w:rPr>
          <w:rFonts w:eastAsia="Times New Roman" w:cstheme="minorHAnsi"/>
          <w:color w:val="000000"/>
          <w:sz w:val="20"/>
          <w:szCs w:val="20"/>
          <w:lang w:eastAsia="de-DE"/>
        </w:rPr>
        <w:t> vermeidet überverkaufte Zonen.</w:t>
      </w:r>
    </w:p>
    <w:p w14:paraId="0CA3C480" w14:textId="77777777" w:rsidR="00165972" w:rsidRPr="00165972" w:rsidRDefault="00165972" w:rsidP="00165972">
      <w:pPr>
        <w:spacing w:after="0" w:line="240" w:lineRule="auto"/>
        <w:rPr>
          <w:rFonts w:eastAsia="Times New Roman" w:cstheme="minorHAnsi"/>
          <w:color w:val="000000"/>
          <w:sz w:val="20"/>
          <w:szCs w:val="20"/>
          <w:lang w:eastAsia="de-DE"/>
        </w:rPr>
      </w:pPr>
      <w:r w:rsidRPr="00165972">
        <w:rPr>
          <w:rFonts w:eastAsia="Times New Roman" w:cstheme="minorHAnsi"/>
          <w:b/>
          <w:bCs/>
          <w:color w:val="000000"/>
          <w:sz w:val="20"/>
          <w:szCs w:val="20"/>
          <w:lang w:eastAsia="de-DE"/>
        </w:rPr>
        <w:t>CCI &gt; 100</w:t>
      </w:r>
      <w:r w:rsidRPr="00165972">
        <w:rPr>
          <w:rFonts w:eastAsia="Times New Roman" w:cstheme="minorHAnsi"/>
          <w:color w:val="000000"/>
          <w:sz w:val="20"/>
          <w:szCs w:val="20"/>
          <w:lang w:eastAsia="de-DE"/>
        </w:rPr>
        <w:t> zeigt starke Aufwärtsdynamik.</w:t>
      </w:r>
    </w:p>
    <w:p w14:paraId="01B625A4" w14:textId="77777777" w:rsidR="00165972" w:rsidRPr="00165972" w:rsidRDefault="00165972" w:rsidP="00165972">
      <w:pPr>
        <w:spacing w:after="0" w:line="240" w:lineRule="auto"/>
        <w:rPr>
          <w:rFonts w:eastAsia="Times New Roman" w:cstheme="minorHAnsi"/>
          <w:color w:val="000000"/>
          <w:sz w:val="20"/>
          <w:szCs w:val="20"/>
          <w:lang w:eastAsia="de-DE"/>
        </w:rPr>
      </w:pPr>
      <w:r w:rsidRPr="00165972">
        <w:rPr>
          <w:rFonts w:eastAsia="Times New Roman" w:cstheme="minorHAnsi"/>
          <w:b/>
          <w:bCs/>
          <w:color w:val="000000"/>
          <w:sz w:val="20"/>
          <w:szCs w:val="20"/>
          <w:lang w:eastAsia="de-DE"/>
        </w:rPr>
        <w:t>Volumen-Validierung</w:t>
      </w:r>
      <w:r w:rsidRPr="00165972">
        <w:rPr>
          <w:rFonts w:eastAsia="Times New Roman" w:cstheme="minorHAnsi"/>
          <w:color w:val="000000"/>
          <w:sz w:val="20"/>
          <w:szCs w:val="20"/>
          <w:lang w:eastAsia="de-DE"/>
        </w:rPr>
        <w:t>:</w:t>
      </w:r>
    </w:p>
    <w:p w14:paraId="43CEAE77" w14:textId="77777777" w:rsidR="00165972" w:rsidRPr="00165972" w:rsidRDefault="00165972" w:rsidP="00165972">
      <w:pPr>
        <w:spacing w:after="0" w:line="240" w:lineRule="auto"/>
        <w:rPr>
          <w:rFonts w:eastAsia="Times New Roman" w:cstheme="minorHAnsi"/>
          <w:color w:val="000000"/>
          <w:sz w:val="20"/>
          <w:szCs w:val="20"/>
          <w:lang w:eastAsia="de-DE"/>
        </w:rPr>
      </w:pPr>
      <w:r w:rsidRPr="00165972">
        <w:rPr>
          <w:rFonts w:eastAsia="Times New Roman" w:cstheme="minorHAnsi"/>
          <w:b/>
          <w:bCs/>
          <w:color w:val="000000"/>
          <w:sz w:val="20"/>
          <w:szCs w:val="20"/>
          <w:lang w:eastAsia="de-DE"/>
        </w:rPr>
        <w:t>PVT grün</w:t>
      </w:r>
      <w:r w:rsidRPr="00165972">
        <w:rPr>
          <w:rFonts w:eastAsia="Times New Roman" w:cstheme="minorHAnsi"/>
          <w:color w:val="000000"/>
          <w:sz w:val="20"/>
          <w:szCs w:val="20"/>
          <w:lang w:eastAsia="de-DE"/>
        </w:rPr>
        <w:t> (steigend) deutet auf Kauflast hin.</w:t>
      </w:r>
    </w:p>
    <w:p w14:paraId="78372AA7" w14:textId="77777777" w:rsidR="00165972" w:rsidRDefault="00165972" w:rsidP="00424CB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0"/>
          <w:szCs w:val="20"/>
          <w:lang w:eastAsia="de-DE"/>
        </w:rPr>
      </w:pPr>
    </w:p>
    <w:p w14:paraId="6E6B2129" w14:textId="1ADF0107" w:rsidR="00424CBC" w:rsidRPr="00424CBC" w:rsidRDefault="00424CBC" w:rsidP="00424CB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3. Schritt-für-Schritt-Setup für Short Calls</w:t>
      </w:r>
    </w:p>
    <w:p w14:paraId="1EE4094C" w14:textId="77777777" w:rsidR="00424CBC" w:rsidRPr="00424CBC" w:rsidRDefault="00424CBC" w:rsidP="00424CB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A. Trade-Eröffnung</w:t>
      </w:r>
    </w:p>
    <w:p w14:paraId="2D457590" w14:textId="77777777" w:rsidR="00424CBC" w:rsidRPr="00424CBC" w:rsidRDefault="00424CBC" w:rsidP="00424C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Strike-Auswahl</w:t>
      </w:r>
      <w:r w:rsidRPr="00424CBC">
        <w:rPr>
          <w:rFonts w:eastAsia="Times New Roman" w:cstheme="minorHAnsi"/>
          <w:sz w:val="20"/>
          <w:szCs w:val="20"/>
          <w:lang w:eastAsia="de-DE"/>
        </w:rPr>
        <w:t>:</w:t>
      </w:r>
    </w:p>
    <w:p w14:paraId="5CBBDDB1" w14:textId="77777777" w:rsidR="00424CBC" w:rsidRPr="00424CBC" w:rsidRDefault="00424CBC" w:rsidP="00424CB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OTM (Out of The Money)</w:t>
      </w:r>
      <w:r w:rsidRPr="00424CBC">
        <w:rPr>
          <w:rFonts w:eastAsia="Times New Roman" w:cstheme="minorHAnsi"/>
          <w:sz w:val="20"/>
          <w:szCs w:val="20"/>
          <w:lang w:eastAsia="de-DE"/>
        </w:rPr>
        <w:t>:</w:t>
      </w:r>
    </w:p>
    <w:p w14:paraId="2E34BAF9" w14:textId="77777777" w:rsidR="00424CBC" w:rsidRPr="00424CBC" w:rsidRDefault="00424CBC" w:rsidP="00424CBC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sz w:val="20"/>
          <w:szCs w:val="20"/>
          <w:lang w:eastAsia="de-DE"/>
        </w:rPr>
        <w:t>Strike 5–10% über aktuellem Kurs.</w:t>
      </w:r>
    </w:p>
    <w:p w14:paraId="37F5BCF9" w14:textId="77777777" w:rsidR="00424CBC" w:rsidRPr="00424CBC" w:rsidRDefault="00424CBC" w:rsidP="00424CBC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i/>
          <w:iCs/>
          <w:sz w:val="20"/>
          <w:szCs w:val="20"/>
          <w:lang w:eastAsia="de-DE"/>
        </w:rPr>
        <w:t>Beispiel</w:t>
      </w:r>
      <w:r w:rsidRPr="00424CBC">
        <w:rPr>
          <w:rFonts w:eastAsia="Times New Roman" w:cstheme="minorHAnsi"/>
          <w:sz w:val="20"/>
          <w:szCs w:val="20"/>
          <w:lang w:eastAsia="de-DE"/>
        </w:rPr>
        <w:t>: Aktie bei $100 → Strike $105–$110.</w:t>
      </w:r>
    </w:p>
    <w:p w14:paraId="695F601D" w14:textId="77777777" w:rsidR="00424CBC" w:rsidRPr="00424CBC" w:rsidRDefault="00424CBC" w:rsidP="00424CBC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Vorteil</w:t>
      </w:r>
      <w:r w:rsidRPr="00424CBC">
        <w:rPr>
          <w:rFonts w:eastAsia="Times New Roman" w:cstheme="minorHAnsi"/>
          <w:sz w:val="20"/>
          <w:szCs w:val="20"/>
          <w:lang w:eastAsia="de-DE"/>
        </w:rPr>
        <w:t>: Hohes Kurspotenzial bei moderater Prämie.</w:t>
      </w:r>
    </w:p>
    <w:p w14:paraId="0AF73991" w14:textId="77777777" w:rsidR="00424CBC" w:rsidRPr="00424CBC" w:rsidRDefault="00424CBC" w:rsidP="00424CB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Vermeide ITM (In The Money)</w:t>
      </w:r>
      <w:r w:rsidRPr="00424CBC">
        <w:rPr>
          <w:rFonts w:eastAsia="Times New Roman" w:cstheme="minorHAnsi"/>
          <w:sz w:val="20"/>
          <w:szCs w:val="20"/>
          <w:lang w:eastAsia="de-DE"/>
        </w:rPr>
        <w:t>: Zu hohe Ausübungsrisiken.</w:t>
      </w:r>
    </w:p>
    <w:p w14:paraId="49681AE9" w14:textId="77777777" w:rsidR="00424CBC" w:rsidRPr="00424CBC" w:rsidRDefault="00424CBC" w:rsidP="00424C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Laufzeit</w:t>
      </w:r>
      <w:r w:rsidRPr="00424CBC">
        <w:rPr>
          <w:rFonts w:eastAsia="Times New Roman" w:cstheme="minorHAnsi"/>
          <w:sz w:val="20"/>
          <w:szCs w:val="20"/>
          <w:lang w:eastAsia="de-DE"/>
        </w:rPr>
        <w:t>:</w:t>
      </w:r>
    </w:p>
    <w:p w14:paraId="39DD2F11" w14:textId="77777777" w:rsidR="00424CBC" w:rsidRPr="00424CBC" w:rsidRDefault="00424CBC" w:rsidP="00424CB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30–60 Tage</w:t>
      </w:r>
      <w:r w:rsidRPr="00424CBC">
        <w:rPr>
          <w:rFonts w:eastAsia="Times New Roman" w:cstheme="minorHAnsi"/>
          <w:sz w:val="20"/>
          <w:szCs w:val="20"/>
          <w:lang w:eastAsia="de-DE"/>
        </w:rPr>
        <w:t>: Optimal für Zeitwertverfall (Theta).</w:t>
      </w:r>
    </w:p>
    <w:p w14:paraId="75637185" w14:textId="7DDF4510" w:rsidR="00424CBC" w:rsidRPr="00424CBC" w:rsidRDefault="00424CBC" w:rsidP="00424CB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i/>
          <w:iCs/>
          <w:sz w:val="20"/>
          <w:szCs w:val="20"/>
          <w:lang w:eastAsia="de-DE"/>
        </w:rPr>
        <w:t>Ausnahme</w:t>
      </w:r>
      <w:r w:rsidRPr="00424CBC">
        <w:rPr>
          <w:rFonts w:eastAsia="Times New Roman" w:cstheme="minorHAnsi"/>
          <w:sz w:val="20"/>
          <w:szCs w:val="20"/>
          <w:lang w:eastAsia="de-DE"/>
        </w:rPr>
        <w:t xml:space="preserve">: Vor Quartalszahlen → </w:t>
      </w:r>
      <w:r w:rsidR="003B7D2A" w:rsidRPr="00424CBC">
        <w:rPr>
          <w:rFonts w:eastAsia="Times New Roman" w:cstheme="minorHAnsi"/>
          <w:sz w:val="20"/>
          <w:szCs w:val="20"/>
          <w:lang w:eastAsia="de-DE"/>
        </w:rPr>
        <w:t>kurze</w:t>
      </w:r>
      <w:r w:rsidRPr="00424CBC">
        <w:rPr>
          <w:rFonts w:eastAsia="Times New Roman" w:cstheme="minorHAnsi"/>
          <w:sz w:val="20"/>
          <w:szCs w:val="20"/>
          <w:lang w:eastAsia="de-DE"/>
        </w:rPr>
        <w:t xml:space="preserve"> Laufzeit (7–14 Tage) für hohe IV-Ausschöpfung.</w:t>
      </w:r>
    </w:p>
    <w:p w14:paraId="0306ED10" w14:textId="77777777" w:rsidR="00424CBC" w:rsidRPr="00424CBC" w:rsidRDefault="00424CBC" w:rsidP="00424C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Prämien-Check</w:t>
      </w:r>
      <w:r w:rsidRPr="00424CBC">
        <w:rPr>
          <w:rFonts w:eastAsia="Times New Roman" w:cstheme="minorHAnsi"/>
          <w:sz w:val="20"/>
          <w:szCs w:val="20"/>
          <w:lang w:eastAsia="de-DE"/>
        </w:rPr>
        <w:t>:</w:t>
      </w:r>
    </w:p>
    <w:p w14:paraId="3BC12819" w14:textId="77777777" w:rsidR="00424CBC" w:rsidRPr="00424CBC" w:rsidRDefault="00424CBC" w:rsidP="00424CB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sz w:val="20"/>
          <w:szCs w:val="20"/>
          <w:lang w:eastAsia="de-DE"/>
        </w:rPr>
        <w:t xml:space="preserve">Mindestens </w:t>
      </w: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1–3%</w:t>
      </w:r>
      <w:r w:rsidRPr="00424CBC">
        <w:rPr>
          <w:rFonts w:eastAsia="Times New Roman" w:cstheme="minorHAnsi"/>
          <w:sz w:val="20"/>
          <w:szCs w:val="20"/>
          <w:lang w:eastAsia="de-DE"/>
        </w:rPr>
        <w:t xml:space="preserve"> des Aktienwerts als Prämie (z. B. $1–$3 Prämie bei $100-Aktie).</w:t>
      </w:r>
    </w:p>
    <w:p w14:paraId="7C2C2424" w14:textId="77777777" w:rsidR="00424CBC" w:rsidRPr="00424CBC" w:rsidRDefault="00424CBC" w:rsidP="00424CB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sz w:val="20"/>
          <w:szCs w:val="20"/>
          <w:lang w:eastAsia="de-DE"/>
        </w:rPr>
        <w:t xml:space="preserve">Nutze Tools wie </w:t>
      </w: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Probability Calculator</w:t>
      </w:r>
      <w:r w:rsidRPr="00424CBC">
        <w:rPr>
          <w:rFonts w:eastAsia="Times New Roman" w:cstheme="minorHAnsi"/>
          <w:sz w:val="20"/>
          <w:szCs w:val="20"/>
          <w:lang w:eastAsia="de-DE"/>
        </w:rPr>
        <w:t xml:space="preserve"> (Delta ≈ 0,3 = 70% Wahrscheinlichkeit des wertlosen Verfalls).</w:t>
      </w:r>
    </w:p>
    <w:p w14:paraId="447380D9" w14:textId="77777777" w:rsidR="00424CBC" w:rsidRPr="00424CBC" w:rsidRDefault="00424CBC" w:rsidP="00424CB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B. Risikomanagement</w:t>
      </w:r>
    </w:p>
    <w:p w14:paraId="1E22E3C5" w14:textId="77777777" w:rsidR="00424CBC" w:rsidRPr="00424CBC" w:rsidRDefault="00424CBC" w:rsidP="00424C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Stop-Loss</w:t>
      </w:r>
      <w:r w:rsidRPr="00424CBC">
        <w:rPr>
          <w:rFonts w:eastAsia="Times New Roman" w:cstheme="minorHAnsi"/>
          <w:sz w:val="20"/>
          <w:szCs w:val="20"/>
          <w:lang w:eastAsia="de-DE"/>
        </w:rPr>
        <w:t>:</w:t>
      </w:r>
      <w:r w:rsidRPr="00424CBC">
        <w:rPr>
          <w:rFonts w:eastAsia="Times New Roman" w:cstheme="minorHAnsi"/>
          <w:sz w:val="20"/>
          <w:szCs w:val="20"/>
          <w:lang w:eastAsia="de-DE"/>
        </w:rPr>
        <w:br/>
        <w:t xml:space="preserve">Schließe den Trade bei </w:t>
      </w: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200% des erhaltenen Credits</w:t>
      </w:r>
      <w:r w:rsidRPr="00424CBC">
        <w:rPr>
          <w:rFonts w:eastAsia="Times New Roman" w:cstheme="minorHAnsi"/>
          <w:sz w:val="20"/>
          <w:szCs w:val="20"/>
          <w:lang w:eastAsia="de-DE"/>
        </w:rPr>
        <w:t xml:space="preserve"> (z. B. bei $2 Verlust, wenn $1 Prämie kassiert).</w:t>
      </w:r>
    </w:p>
    <w:p w14:paraId="3B88B55D" w14:textId="77777777" w:rsidR="00424CBC" w:rsidRPr="00424CBC" w:rsidRDefault="00424CBC" w:rsidP="00424C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Hedging</w:t>
      </w:r>
      <w:r w:rsidRPr="00424CBC">
        <w:rPr>
          <w:rFonts w:eastAsia="Times New Roman" w:cstheme="minorHAnsi"/>
          <w:sz w:val="20"/>
          <w:szCs w:val="20"/>
          <w:lang w:eastAsia="de-DE"/>
        </w:rPr>
        <w:t>:</w:t>
      </w:r>
    </w:p>
    <w:p w14:paraId="06A27E7D" w14:textId="77777777" w:rsidR="00424CBC" w:rsidRPr="00424CBC" w:rsidRDefault="00424CBC" w:rsidP="00424CBC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sz w:val="20"/>
          <w:szCs w:val="20"/>
          <w:lang w:eastAsia="de-DE"/>
        </w:rPr>
        <w:t xml:space="preserve">Für Covered Calls: Kaufe einen </w:t>
      </w: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Put</w:t>
      </w:r>
      <w:r w:rsidRPr="00424CBC">
        <w:rPr>
          <w:rFonts w:eastAsia="Times New Roman" w:cstheme="minorHAnsi"/>
          <w:sz w:val="20"/>
          <w:szCs w:val="20"/>
          <w:lang w:eastAsia="de-DE"/>
        </w:rPr>
        <w:t xml:space="preserve"> als Versicherung.</w:t>
      </w:r>
    </w:p>
    <w:p w14:paraId="22DB42C0" w14:textId="77777777" w:rsidR="00424CBC" w:rsidRPr="00424CBC" w:rsidRDefault="00424CBC" w:rsidP="00424CBC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sz w:val="20"/>
          <w:szCs w:val="20"/>
          <w:lang w:eastAsia="de-DE"/>
        </w:rPr>
        <w:t xml:space="preserve">Für Naked/Cash Covered: Setze </w:t>
      </w: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Limit-Buy-Orders</w:t>
      </w:r>
      <w:r w:rsidRPr="00424CBC">
        <w:rPr>
          <w:rFonts w:eastAsia="Times New Roman" w:cstheme="minorHAnsi"/>
          <w:sz w:val="20"/>
          <w:szCs w:val="20"/>
          <w:lang w:eastAsia="de-DE"/>
        </w:rPr>
        <w:t xml:space="preserve"> am Strike-Preis, um Aktien automatisch zu kaufen.</w:t>
      </w:r>
    </w:p>
    <w:p w14:paraId="509C8236" w14:textId="77777777" w:rsidR="00424CBC" w:rsidRPr="00424CBC" w:rsidRDefault="00424CBC" w:rsidP="00424C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Maximales Positionsrisiko</w:t>
      </w:r>
      <w:r w:rsidRPr="00424CBC">
        <w:rPr>
          <w:rFonts w:eastAsia="Times New Roman" w:cstheme="minorHAnsi"/>
          <w:sz w:val="20"/>
          <w:szCs w:val="20"/>
          <w:lang w:eastAsia="de-DE"/>
        </w:rPr>
        <w:t>:</w:t>
      </w:r>
      <w:r w:rsidRPr="00424CBC">
        <w:rPr>
          <w:rFonts w:eastAsia="Times New Roman" w:cstheme="minorHAnsi"/>
          <w:sz w:val="20"/>
          <w:szCs w:val="20"/>
          <w:lang w:eastAsia="de-DE"/>
        </w:rPr>
        <w:br/>
        <w:t xml:space="preserve">Begrenze den Verlust pro Trade auf </w:t>
      </w: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1–2% des Depotwerts</w:t>
      </w:r>
      <w:r w:rsidRPr="00424CBC">
        <w:rPr>
          <w:rFonts w:eastAsia="Times New Roman" w:cstheme="minorHAnsi"/>
          <w:sz w:val="20"/>
          <w:szCs w:val="20"/>
          <w:lang w:eastAsia="de-DE"/>
        </w:rPr>
        <w:t>.</w:t>
      </w:r>
    </w:p>
    <w:p w14:paraId="1F3C2FE1" w14:textId="77777777" w:rsidR="00424CBC" w:rsidRPr="00424CBC" w:rsidRDefault="00424CBC" w:rsidP="00424CB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lastRenderedPageBreak/>
        <w:t>C. Trade-Management</w:t>
      </w:r>
    </w:p>
    <w:p w14:paraId="6305918B" w14:textId="77777777" w:rsidR="00424CBC" w:rsidRPr="00424CBC" w:rsidRDefault="00424CBC" w:rsidP="00424C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Rolling bei Kursanstieg</w:t>
      </w:r>
      <w:r w:rsidRPr="00424CBC">
        <w:rPr>
          <w:rFonts w:eastAsia="Times New Roman" w:cstheme="minorHAnsi"/>
          <w:sz w:val="20"/>
          <w:szCs w:val="20"/>
          <w:lang w:eastAsia="de-DE"/>
        </w:rPr>
        <w:t>:</w:t>
      </w:r>
    </w:p>
    <w:p w14:paraId="67AD7449" w14:textId="7243ABA4" w:rsidR="00424CBC" w:rsidRPr="00424CBC" w:rsidRDefault="00424CBC" w:rsidP="00424CB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Roll Up/Forward</w:t>
      </w:r>
      <w:r w:rsidRPr="00424CBC">
        <w:rPr>
          <w:rFonts w:eastAsia="Times New Roman" w:cstheme="minorHAnsi"/>
          <w:sz w:val="20"/>
          <w:szCs w:val="20"/>
          <w:lang w:eastAsia="de-DE"/>
        </w:rPr>
        <w:t>: Kaufe den Short Call zurück und verkaufe einen höheren Strike mit längerer Laufzeit.</w:t>
      </w:r>
      <w:r w:rsidR="007A3391">
        <w:rPr>
          <w:rFonts w:eastAsia="Times New Roman" w:cstheme="minorHAnsi"/>
          <w:sz w:val="20"/>
          <w:szCs w:val="20"/>
          <w:lang w:eastAsia="de-DE"/>
        </w:rPr>
        <w:t xml:space="preserve"> (z.B.</w:t>
      </w:r>
      <w:r w:rsidRPr="00424CBC">
        <w:rPr>
          <w:rFonts w:eastAsia="Times New Roman" w:cstheme="minorHAnsi"/>
          <w:sz w:val="20"/>
          <w:szCs w:val="20"/>
          <w:lang w:eastAsia="de-DE"/>
        </w:rPr>
        <w:t xml:space="preserve"> Roll von $110 auf $115 mit +30 Tagen Laufzeit</w:t>
      </w:r>
      <w:r w:rsidR="007A3391">
        <w:rPr>
          <w:rFonts w:eastAsia="Times New Roman" w:cstheme="minorHAnsi"/>
          <w:sz w:val="20"/>
          <w:szCs w:val="20"/>
          <w:lang w:eastAsia="de-DE"/>
        </w:rPr>
        <w:t>)</w:t>
      </w:r>
    </w:p>
    <w:p w14:paraId="0452F8DA" w14:textId="77777777" w:rsidR="00424CBC" w:rsidRPr="00424CBC" w:rsidRDefault="00424CBC" w:rsidP="00424C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Gewinnmitnahme</w:t>
      </w:r>
      <w:r w:rsidRPr="00424CBC">
        <w:rPr>
          <w:rFonts w:eastAsia="Times New Roman" w:cstheme="minorHAnsi"/>
          <w:sz w:val="20"/>
          <w:szCs w:val="20"/>
          <w:lang w:eastAsia="de-DE"/>
        </w:rPr>
        <w:t>:</w:t>
      </w:r>
    </w:p>
    <w:p w14:paraId="7E217EFC" w14:textId="77777777" w:rsidR="00424CBC" w:rsidRPr="00424CBC" w:rsidRDefault="00424CBC" w:rsidP="00424CB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sz w:val="20"/>
          <w:szCs w:val="20"/>
          <w:lang w:eastAsia="de-DE"/>
        </w:rPr>
        <w:t xml:space="preserve">Schließe den Trade bei </w:t>
      </w: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50–70% des maximalen Gewinns</w:t>
      </w:r>
      <w:r w:rsidRPr="00424CBC">
        <w:rPr>
          <w:rFonts w:eastAsia="Times New Roman" w:cstheme="minorHAnsi"/>
          <w:sz w:val="20"/>
          <w:szCs w:val="20"/>
          <w:lang w:eastAsia="de-DE"/>
        </w:rPr>
        <w:t xml:space="preserve"> (z. B. bei $0.50 Verfall der $1.00-Prämie).</w:t>
      </w:r>
    </w:p>
    <w:p w14:paraId="49939FDC" w14:textId="75F9C179" w:rsidR="00424CBC" w:rsidRPr="00424CBC" w:rsidRDefault="00424CBC" w:rsidP="00424CB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4. Best Practices</w:t>
      </w:r>
    </w:p>
    <w:p w14:paraId="3F689356" w14:textId="77777777" w:rsidR="00424CBC" w:rsidRPr="00424CBC" w:rsidRDefault="00424CBC" w:rsidP="00424CB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Cashflow- vs. Wachstumsorientierung</w:t>
      </w:r>
      <w:r w:rsidRPr="00424CBC">
        <w:rPr>
          <w:rFonts w:eastAsia="Times New Roman" w:cstheme="minorHAnsi"/>
          <w:sz w:val="20"/>
          <w:szCs w:val="20"/>
          <w:lang w:eastAsia="de-DE"/>
        </w:rPr>
        <w:t>:</w:t>
      </w:r>
    </w:p>
    <w:p w14:paraId="29E930F8" w14:textId="77777777" w:rsidR="00424CBC" w:rsidRPr="00424CBC" w:rsidRDefault="00424CBC" w:rsidP="00424CBC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sz w:val="20"/>
          <w:szCs w:val="20"/>
          <w:lang w:eastAsia="de-DE"/>
        </w:rPr>
        <w:t xml:space="preserve">Für konservativen Cashflow: Wähle </w:t>
      </w: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ATM (At The Money)</w:t>
      </w:r>
      <w:r w:rsidRPr="00424CBC">
        <w:rPr>
          <w:rFonts w:eastAsia="Times New Roman" w:cstheme="minorHAnsi"/>
          <w:sz w:val="20"/>
          <w:szCs w:val="20"/>
          <w:lang w:eastAsia="de-DE"/>
        </w:rPr>
        <w:t xml:space="preserve"> Strikes mit hoher Prämie.</w:t>
      </w:r>
    </w:p>
    <w:p w14:paraId="7208750E" w14:textId="77777777" w:rsidR="00424CBC" w:rsidRPr="00424CBC" w:rsidRDefault="00424CBC" w:rsidP="00424CBC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sz w:val="20"/>
          <w:szCs w:val="20"/>
          <w:lang w:eastAsia="de-DE"/>
        </w:rPr>
        <w:t xml:space="preserve">Für partielle Kurschancen: </w:t>
      </w: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OTM-Strikes</w:t>
      </w:r>
      <w:r w:rsidRPr="00424CBC">
        <w:rPr>
          <w:rFonts w:eastAsia="Times New Roman" w:cstheme="minorHAnsi"/>
          <w:sz w:val="20"/>
          <w:szCs w:val="20"/>
          <w:lang w:eastAsia="de-DE"/>
        </w:rPr>
        <w:t xml:space="preserve"> mit langer Laufzeit (60–90 Tage).</w:t>
      </w:r>
    </w:p>
    <w:p w14:paraId="497F878E" w14:textId="77777777" w:rsidR="00424CBC" w:rsidRPr="00424CBC" w:rsidRDefault="00424CBC" w:rsidP="00424CB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Wheel-Strategie</w:t>
      </w:r>
      <w:r w:rsidRPr="00424CBC">
        <w:rPr>
          <w:rFonts w:eastAsia="Times New Roman" w:cstheme="minorHAnsi"/>
          <w:sz w:val="20"/>
          <w:szCs w:val="20"/>
          <w:lang w:eastAsia="de-DE"/>
        </w:rPr>
        <w:t>:</w:t>
      </w:r>
      <w:r w:rsidRPr="00424CBC">
        <w:rPr>
          <w:rFonts w:eastAsia="Times New Roman" w:cstheme="minorHAnsi"/>
          <w:sz w:val="20"/>
          <w:szCs w:val="20"/>
          <w:lang w:eastAsia="de-DE"/>
        </w:rPr>
        <w:br/>
        <w:t xml:space="preserve">Kombiniere </w:t>
      </w: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Cash Secured Puts</w:t>
      </w:r>
      <w:r w:rsidRPr="00424CBC">
        <w:rPr>
          <w:rFonts w:eastAsia="Times New Roman" w:cstheme="minorHAnsi"/>
          <w:sz w:val="20"/>
          <w:szCs w:val="20"/>
          <w:lang w:eastAsia="de-DE"/>
        </w:rPr>
        <w:t xml:space="preserve"> (Einstieg) → </w:t>
      </w: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Covered Calls</w:t>
      </w:r>
      <w:r w:rsidRPr="00424CBC">
        <w:rPr>
          <w:rFonts w:eastAsia="Times New Roman" w:cstheme="minorHAnsi"/>
          <w:sz w:val="20"/>
          <w:szCs w:val="20"/>
          <w:lang w:eastAsia="de-DE"/>
        </w:rPr>
        <w:t xml:space="preserve"> (nach Zuteilung) → </w:t>
      </w: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Cashflow-Zyklus</w:t>
      </w:r>
      <w:r w:rsidRPr="00424CBC">
        <w:rPr>
          <w:rFonts w:eastAsia="Times New Roman" w:cstheme="minorHAnsi"/>
          <w:sz w:val="20"/>
          <w:szCs w:val="20"/>
          <w:lang w:eastAsia="de-DE"/>
        </w:rPr>
        <w:t>.</w:t>
      </w:r>
    </w:p>
    <w:p w14:paraId="3C803AF6" w14:textId="77777777" w:rsidR="00424CBC" w:rsidRPr="00424CBC" w:rsidRDefault="00424CBC" w:rsidP="00424CBC">
      <w:pPr>
        <w:spacing w:beforeAutospacing="1" w:after="100" w:afterAutospacing="1" w:line="240" w:lineRule="auto"/>
        <w:ind w:left="1440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i/>
          <w:iCs/>
          <w:sz w:val="20"/>
          <w:szCs w:val="20"/>
          <w:lang w:eastAsia="de-DE"/>
        </w:rPr>
        <w:t>"Das Wheel ist die Königsklasse für passives Einkommen."</w:t>
      </w:r>
      <w:r w:rsidRPr="00424CBC">
        <w:rPr>
          <w:rFonts w:eastAsia="Times New Roman" w:cstheme="minorHAnsi"/>
          <w:sz w:val="20"/>
          <w:szCs w:val="20"/>
          <w:lang w:eastAsia="de-DE"/>
        </w:rPr>
        <w:t xml:space="preserve"> – Anissimov, Kap. 9.</w:t>
      </w:r>
    </w:p>
    <w:p w14:paraId="1E62CA2F" w14:textId="77777777" w:rsidR="00424CBC" w:rsidRPr="00424CBC" w:rsidRDefault="00424CBC" w:rsidP="00424CB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Emotionen kontrollieren</w:t>
      </w:r>
      <w:r w:rsidRPr="00424CBC">
        <w:rPr>
          <w:rFonts w:eastAsia="Times New Roman" w:cstheme="minorHAnsi"/>
          <w:sz w:val="20"/>
          <w:szCs w:val="20"/>
          <w:lang w:eastAsia="de-DE"/>
        </w:rPr>
        <w:t>:</w:t>
      </w:r>
      <w:r w:rsidRPr="00424CBC">
        <w:rPr>
          <w:rFonts w:eastAsia="Times New Roman" w:cstheme="minorHAnsi"/>
          <w:sz w:val="20"/>
          <w:szCs w:val="20"/>
          <w:lang w:eastAsia="de-DE"/>
        </w:rPr>
        <w:br/>
        <w:t>Keine Angst vor Ausübung! Nutze sie als Chance, um das Wheel neu zu starten.</w:t>
      </w:r>
    </w:p>
    <w:p w14:paraId="610F0910" w14:textId="77777777" w:rsidR="00424CBC" w:rsidRPr="00424CBC" w:rsidRDefault="00424CBC" w:rsidP="00424CB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5. Tools &amp; Checkliste vor dem Trade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0"/>
        <w:gridCol w:w="4820"/>
      </w:tblGrid>
      <w:tr w:rsidR="00424CBC" w:rsidRPr="00424CBC" w14:paraId="6ECA8CDA" w14:textId="77777777" w:rsidTr="00DC1E12">
        <w:trPr>
          <w:tblHeader/>
          <w:tblCellSpacing w:w="15" w:type="dxa"/>
        </w:trPr>
        <w:tc>
          <w:tcPr>
            <w:tcW w:w="2365" w:type="dxa"/>
            <w:vAlign w:val="center"/>
            <w:hideMark/>
          </w:tcPr>
          <w:p w14:paraId="18DBA446" w14:textId="77777777" w:rsidR="00424CBC" w:rsidRPr="00424CBC" w:rsidRDefault="00424CBC" w:rsidP="00424C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424CBC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Frage</w:t>
            </w:r>
          </w:p>
        </w:tc>
        <w:tc>
          <w:tcPr>
            <w:tcW w:w="4775" w:type="dxa"/>
            <w:vAlign w:val="center"/>
            <w:hideMark/>
          </w:tcPr>
          <w:p w14:paraId="3D39D5C4" w14:textId="77777777" w:rsidR="00424CBC" w:rsidRPr="00424CBC" w:rsidRDefault="00424CBC" w:rsidP="00424C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424CBC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Idealantwort</w:t>
            </w:r>
          </w:p>
        </w:tc>
      </w:tr>
      <w:tr w:rsidR="00424CBC" w:rsidRPr="00424CBC" w14:paraId="7F1A71F1" w14:textId="77777777" w:rsidTr="00DC1E1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6B8A806D" w14:textId="77777777" w:rsidR="00424CBC" w:rsidRPr="00424CBC" w:rsidRDefault="00424CBC" w:rsidP="00424CB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424CBC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Ist die IV hoch?</w:t>
            </w:r>
          </w:p>
        </w:tc>
        <w:tc>
          <w:tcPr>
            <w:tcW w:w="4775" w:type="dxa"/>
            <w:vAlign w:val="center"/>
            <w:hideMark/>
          </w:tcPr>
          <w:p w14:paraId="3B6DD1E8" w14:textId="77777777" w:rsidR="00424CBC" w:rsidRPr="00424CBC" w:rsidRDefault="00424CBC" w:rsidP="00424CB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424CBC">
              <w:rPr>
                <w:rFonts w:eastAsia="Times New Roman" w:cstheme="minorHAnsi"/>
                <w:sz w:val="20"/>
                <w:szCs w:val="20"/>
                <w:lang w:eastAsia="de-DE"/>
              </w:rPr>
              <w:t>Ja (&gt; 70. Perzentil der 1-Jahres-IV).</w:t>
            </w:r>
          </w:p>
        </w:tc>
      </w:tr>
      <w:tr w:rsidR="00424CBC" w:rsidRPr="00424CBC" w14:paraId="58CBA6D1" w14:textId="77777777" w:rsidTr="00DC1E1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34922163" w14:textId="77777777" w:rsidR="00424CBC" w:rsidRPr="00424CBC" w:rsidRDefault="00424CBC" w:rsidP="00424CB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424CBC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Ist der Trend neutral?</w:t>
            </w:r>
          </w:p>
        </w:tc>
        <w:tc>
          <w:tcPr>
            <w:tcW w:w="4775" w:type="dxa"/>
            <w:vAlign w:val="center"/>
            <w:hideMark/>
          </w:tcPr>
          <w:p w14:paraId="6517B019" w14:textId="09802504" w:rsidR="00424CBC" w:rsidRPr="00424CBC" w:rsidRDefault="00424CBC" w:rsidP="00424CB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424CBC">
              <w:rPr>
                <w:rFonts w:eastAsia="Times New Roman" w:cstheme="minorHAnsi"/>
                <w:sz w:val="20"/>
                <w:szCs w:val="20"/>
                <w:lang w:eastAsia="de-DE"/>
              </w:rPr>
              <w:t>Ja (Kein klarer Aufwärts/Abwärtstrend).</w:t>
            </w:r>
          </w:p>
        </w:tc>
      </w:tr>
      <w:tr w:rsidR="00424CBC" w:rsidRPr="00424CBC" w14:paraId="2394491E" w14:textId="77777777" w:rsidTr="00DC1E1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17CB83CF" w14:textId="77777777" w:rsidR="00424CBC" w:rsidRPr="00424CBC" w:rsidRDefault="00424CBC" w:rsidP="00424CB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424CBC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Dividendenabstand?</w:t>
            </w:r>
          </w:p>
        </w:tc>
        <w:tc>
          <w:tcPr>
            <w:tcW w:w="4775" w:type="dxa"/>
            <w:vAlign w:val="center"/>
            <w:hideMark/>
          </w:tcPr>
          <w:p w14:paraId="758C548B" w14:textId="77777777" w:rsidR="00424CBC" w:rsidRPr="00424CBC" w:rsidRDefault="00424CBC" w:rsidP="00424CB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424CBC">
              <w:rPr>
                <w:rFonts w:eastAsia="Times New Roman" w:cstheme="minorHAnsi"/>
                <w:sz w:val="20"/>
                <w:szCs w:val="20"/>
                <w:lang w:eastAsia="de-DE"/>
              </w:rPr>
              <w:t>&gt; 14 Tage bis zur nächsten Dividende.</w:t>
            </w:r>
          </w:p>
        </w:tc>
      </w:tr>
      <w:tr w:rsidR="00424CBC" w:rsidRPr="00424CBC" w14:paraId="2D2D0ED0" w14:textId="77777777" w:rsidTr="00DC1E1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0AC5B7AD" w14:textId="77777777" w:rsidR="00424CBC" w:rsidRPr="00424CBC" w:rsidRDefault="00424CBC" w:rsidP="00424CB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424CBC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CRV (Chance/Risiko)?</w:t>
            </w:r>
          </w:p>
        </w:tc>
        <w:tc>
          <w:tcPr>
            <w:tcW w:w="4775" w:type="dxa"/>
            <w:vAlign w:val="center"/>
            <w:hideMark/>
          </w:tcPr>
          <w:p w14:paraId="5E242F07" w14:textId="77777777" w:rsidR="00424CBC" w:rsidRPr="00424CBC" w:rsidRDefault="00424CBC" w:rsidP="00424CB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424CBC">
              <w:rPr>
                <w:rFonts w:eastAsia="Times New Roman" w:cstheme="minorHAnsi"/>
                <w:sz w:val="20"/>
                <w:szCs w:val="20"/>
                <w:lang w:eastAsia="de-DE"/>
              </w:rPr>
              <w:t>&gt; 1:3 (z. B. $100 Gewinnpotenzial vs. $30 Risiko).</w:t>
            </w:r>
          </w:p>
        </w:tc>
      </w:tr>
    </w:tbl>
    <w:p w14:paraId="2F0A018D" w14:textId="77777777" w:rsidR="00424CBC" w:rsidRPr="00424CBC" w:rsidRDefault="00424CBC" w:rsidP="00424CB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Zusammenfassung der Schlüsselprinzipien</w:t>
      </w:r>
    </w:p>
    <w:p w14:paraId="2DEA4482" w14:textId="77777777" w:rsidR="00424CBC" w:rsidRPr="00424CBC" w:rsidRDefault="00424CBC" w:rsidP="00424CB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Basiswerte</w:t>
      </w:r>
      <w:r w:rsidRPr="00424CBC">
        <w:rPr>
          <w:rFonts w:eastAsia="Times New Roman" w:cstheme="minorHAnsi"/>
          <w:sz w:val="20"/>
          <w:szCs w:val="20"/>
          <w:lang w:eastAsia="de-DE"/>
        </w:rPr>
        <w:t>: Stabile, moderate Vola-Aktien im Seitwärtstrend.</w:t>
      </w:r>
    </w:p>
    <w:p w14:paraId="0F52F13E" w14:textId="77777777" w:rsidR="00424CBC" w:rsidRPr="00424CBC" w:rsidRDefault="00424CBC" w:rsidP="00424CB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Strikes</w:t>
      </w:r>
      <w:r w:rsidRPr="00424CBC">
        <w:rPr>
          <w:rFonts w:eastAsia="Times New Roman" w:cstheme="minorHAnsi"/>
          <w:sz w:val="20"/>
          <w:szCs w:val="20"/>
          <w:lang w:eastAsia="de-DE"/>
        </w:rPr>
        <w:t>: OTM mit 30–60 Tagen Laufzeit.</w:t>
      </w:r>
    </w:p>
    <w:p w14:paraId="7BFD8BF8" w14:textId="77777777" w:rsidR="00424CBC" w:rsidRPr="00424CBC" w:rsidRDefault="00424CBC" w:rsidP="00424CB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Risiko</w:t>
      </w:r>
      <w:r w:rsidRPr="00424CBC">
        <w:rPr>
          <w:rFonts w:eastAsia="Times New Roman" w:cstheme="minorHAnsi"/>
          <w:sz w:val="20"/>
          <w:szCs w:val="20"/>
          <w:lang w:eastAsia="de-DE"/>
        </w:rPr>
        <w:t>: Max. 2% Depotrisiko pro Trade + Stop-Loss.</w:t>
      </w:r>
    </w:p>
    <w:p w14:paraId="48EFAEFE" w14:textId="77777777" w:rsidR="00424CBC" w:rsidRPr="00424CBC" w:rsidRDefault="00424CBC" w:rsidP="00424CB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Management</w:t>
      </w:r>
      <w:r w:rsidRPr="00424CBC">
        <w:rPr>
          <w:rFonts w:eastAsia="Times New Roman" w:cstheme="minorHAnsi"/>
          <w:sz w:val="20"/>
          <w:szCs w:val="20"/>
          <w:lang w:eastAsia="de-DE"/>
        </w:rPr>
        <w:t>: Rollen bei Kursanstieg, Gewinne bei 50–70% mitnehmen.</w:t>
      </w:r>
    </w:p>
    <w:p w14:paraId="2E191087" w14:textId="77777777" w:rsidR="00424CBC" w:rsidRPr="00424CBC" w:rsidRDefault="00424CBC" w:rsidP="00424CB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Mindset</w:t>
      </w:r>
      <w:r w:rsidRPr="00424CBC">
        <w:rPr>
          <w:rFonts w:eastAsia="Times New Roman" w:cstheme="minorHAnsi"/>
          <w:sz w:val="20"/>
          <w:szCs w:val="20"/>
          <w:lang w:eastAsia="de-DE"/>
        </w:rPr>
        <w:t>: Nutze Ausübungen als Teil des Wheels – kein Verlust, sondern Strategiewechsel.</w:t>
      </w:r>
    </w:p>
    <w:p w14:paraId="01B12364" w14:textId="4AA42622" w:rsidR="00424CBC" w:rsidRPr="00424CBC" w:rsidRDefault="00424CBC" w:rsidP="00424CBC">
      <w:p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de-DE"/>
        </w:rPr>
      </w:pPr>
      <w:r w:rsidRPr="00424CBC">
        <w:rPr>
          <w:rFonts w:eastAsia="Times New Roman" w:cstheme="minorHAnsi"/>
          <w:sz w:val="20"/>
          <w:szCs w:val="20"/>
          <w:lang w:eastAsia="de-DE"/>
        </w:rPr>
        <w:t xml:space="preserve">Für detaillierte Fallbeispiele siehe </w:t>
      </w: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Kapitel 7–9</w:t>
      </w:r>
      <w:r w:rsidRPr="00424CBC">
        <w:rPr>
          <w:rFonts w:eastAsia="Times New Roman" w:cstheme="minorHAnsi"/>
          <w:sz w:val="20"/>
          <w:szCs w:val="20"/>
          <w:lang w:eastAsia="de-DE"/>
        </w:rPr>
        <w:t xml:space="preserve"> im Buch oder die Folien zum </w:t>
      </w:r>
      <w:r w:rsidRPr="00424CBC">
        <w:rPr>
          <w:rFonts w:eastAsia="Times New Roman" w:cstheme="minorHAnsi"/>
          <w:b/>
          <w:bCs/>
          <w:sz w:val="20"/>
          <w:szCs w:val="20"/>
          <w:lang w:eastAsia="de-DE"/>
        </w:rPr>
        <w:t>Wheel of Fortune</w:t>
      </w:r>
      <w:r w:rsidRPr="00424CBC">
        <w:rPr>
          <w:rFonts w:eastAsia="Times New Roman" w:cstheme="minorHAnsi"/>
          <w:sz w:val="20"/>
          <w:szCs w:val="20"/>
          <w:lang w:eastAsia="de-DE"/>
        </w:rPr>
        <w:t>.</w:t>
      </w:r>
    </w:p>
    <w:p w14:paraId="0B8E0C5D" w14:textId="77777777" w:rsidR="004D612C" w:rsidRPr="005557D8" w:rsidRDefault="004D612C">
      <w:pPr>
        <w:rPr>
          <w:rFonts w:cstheme="minorHAnsi"/>
          <w:sz w:val="20"/>
          <w:szCs w:val="20"/>
        </w:rPr>
      </w:pPr>
    </w:p>
    <w:sectPr w:rsidR="004D612C" w:rsidRPr="005557D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43B74"/>
    <w:multiLevelType w:val="multilevel"/>
    <w:tmpl w:val="4642A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3347F9"/>
    <w:multiLevelType w:val="multilevel"/>
    <w:tmpl w:val="CFCEA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3E684F"/>
    <w:multiLevelType w:val="hybridMultilevel"/>
    <w:tmpl w:val="CB0ADF4E"/>
    <w:lvl w:ilvl="0" w:tplc="84A8BA2C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CF1B1E"/>
    <w:multiLevelType w:val="hybridMultilevel"/>
    <w:tmpl w:val="8DA68A2E"/>
    <w:lvl w:ilvl="0" w:tplc="301621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F93F82"/>
    <w:multiLevelType w:val="multilevel"/>
    <w:tmpl w:val="1E3A0F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7B3651"/>
    <w:multiLevelType w:val="multilevel"/>
    <w:tmpl w:val="F2ECD4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39E95D63"/>
    <w:multiLevelType w:val="multilevel"/>
    <w:tmpl w:val="B3C66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4C437B"/>
    <w:multiLevelType w:val="multilevel"/>
    <w:tmpl w:val="0E228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F573C1A"/>
    <w:multiLevelType w:val="multilevel"/>
    <w:tmpl w:val="E6ACD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E309F9"/>
    <w:multiLevelType w:val="multilevel"/>
    <w:tmpl w:val="A7085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8"/>
  </w:num>
  <w:num w:numId="5">
    <w:abstractNumId w:val="1"/>
  </w:num>
  <w:num w:numId="6">
    <w:abstractNumId w:val="6"/>
  </w:num>
  <w:num w:numId="7">
    <w:abstractNumId w:val="9"/>
  </w:num>
  <w:num w:numId="8">
    <w:abstractNumId w:val="5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AB3"/>
    <w:rsid w:val="000025BC"/>
    <w:rsid w:val="00055ADB"/>
    <w:rsid w:val="000C2747"/>
    <w:rsid w:val="000F533F"/>
    <w:rsid w:val="00165972"/>
    <w:rsid w:val="00214532"/>
    <w:rsid w:val="003B7D2A"/>
    <w:rsid w:val="00424CBC"/>
    <w:rsid w:val="004D612C"/>
    <w:rsid w:val="005557D8"/>
    <w:rsid w:val="005A781E"/>
    <w:rsid w:val="005F7A24"/>
    <w:rsid w:val="00642D89"/>
    <w:rsid w:val="0068606C"/>
    <w:rsid w:val="007A3391"/>
    <w:rsid w:val="008D1A06"/>
    <w:rsid w:val="0092384B"/>
    <w:rsid w:val="009B23D5"/>
    <w:rsid w:val="00A0407E"/>
    <w:rsid w:val="00A704B3"/>
    <w:rsid w:val="00AA37D8"/>
    <w:rsid w:val="00AA5980"/>
    <w:rsid w:val="00B3278B"/>
    <w:rsid w:val="00B425FD"/>
    <w:rsid w:val="00B45F34"/>
    <w:rsid w:val="00BB1AB3"/>
    <w:rsid w:val="00BC08D2"/>
    <w:rsid w:val="00BE41E6"/>
    <w:rsid w:val="00C247D0"/>
    <w:rsid w:val="00DA4B8F"/>
    <w:rsid w:val="00DA7213"/>
    <w:rsid w:val="00DC1E12"/>
    <w:rsid w:val="00DF6462"/>
    <w:rsid w:val="00E92CCF"/>
    <w:rsid w:val="00E93E4C"/>
    <w:rsid w:val="00FB3A2F"/>
    <w:rsid w:val="00FE5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77005"/>
  <w15:chartTrackingRefBased/>
  <w15:docId w15:val="{3F9A5534-18AB-42B6-8F9B-6754D8045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link w:val="berschrift2Zchn"/>
    <w:uiPriority w:val="9"/>
    <w:qFormat/>
    <w:rsid w:val="00424C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D612C"/>
    <w:pPr>
      <w:ind w:left="720"/>
      <w:contextualSpacing/>
    </w:pPr>
  </w:style>
  <w:style w:type="character" w:styleId="Hervorhebung">
    <w:name w:val="Emphasis"/>
    <w:basedOn w:val="Absatz-Standardschriftart"/>
    <w:uiPriority w:val="20"/>
    <w:qFormat/>
    <w:rsid w:val="00424CBC"/>
    <w:rPr>
      <w:i/>
      <w:iCs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24CBC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customStyle="1" w:styleId="my-0">
    <w:name w:val="my-0"/>
    <w:basedOn w:val="Standard"/>
    <w:rsid w:val="00424C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424CBC"/>
    <w:rPr>
      <w:b/>
      <w:bCs/>
    </w:rPr>
  </w:style>
  <w:style w:type="character" w:styleId="HTMLCode">
    <w:name w:val="HTML Code"/>
    <w:basedOn w:val="Absatz-Standardschriftart"/>
    <w:uiPriority w:val="99"/>
    <w:semiHidden/>
    <w:unhideWhenUsed/>
    <w:rsid w:val="00424CBC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Absatz-Standardschriftart"/>
    <w:uiPriority w:val="99"/>
    <w:semiHidden/>
    <w:unhideWhenUsed/>
    <w:rsid w:val="00424CB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171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5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65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723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22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361645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1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5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64446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677</Words>
  <Characters>4271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Polster</dc:creator>
  <cp:keywords/>
  <dc:description/>
  <cp:lastModifiedBy>Mandy Polster</cp:lastModifiedBy>
  <cp:revision>21</cp:revision>
  <dcterms:created xsi:type="dcterms:W3CDTF">2025-06-21T07:00:00Z</dcterms:created>
  <dcterms:modified xsi:type="dcterms:W3CDTF">2025-06-23T16:32:00Z</dcterms:modified>
</cp:coreProperties>
</file>